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9"/>
        <w:gridCol w:w="1701"/>
        <w:gridCol w:w="4820"/>
        <w:gridCol w:w="5386"/>
        <w:gridCol w:w="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4023" w:type="dxa"/>
            <w:gridSpan w:val="5"/>
            <w:tcBorders>
              <w:top w:val="nil"/>
              <w:left w:val="nil"/>
              <w:bottom w:val="single" w:color="auto" w:sz="4" w:space="0"/>
              <w:right w:val="nil"/>
            </w:tcBorders>
            <w:vAlign w:val="center"/>
          </w:tcPr>
          <w:p>
            <w:pPr>
              <w:adjustRightInd w:val="0"/>
              <w:snapToGrid w:val="0"/>
              <w:jc w:val="center"/>
              <w:rPr>
                <w:rFonts w:hint="eastAsia" w:ascii="仿宋" w:hAnsi="仿宋" w:eastAsia="仿宋"/>
                <w:b/>
                <w:sz w:val="32"/>
                <w:szCs w:val="32"/>
              </w:rPr>
            </w:pPr>
            <w:r>
              <w:rPr>
                <w:rFonts w:hint="eastAsia" w:ascii="仿宋" w:hAnsi="仿宋" w:eastAsia="仿宋"/>
                <w:b/>
                <w:sz w:val="32"/>
                <w:szCs w:val="32"/>
              </w:rPr>
              <w:t>湖北经济学院辅导员学年业务工作考核</w:t>
            </w:r>
            <w:r>
              <w:rPr>
                <w:rFonts w:hint="eastAsia" w:ascii="仿宋" w:hAnsi="仿宋" w:eastAsia="仿宋"/>
                <w:b/>
                <w:sz w:val="32"/>
                <w:szCs w:val="32"/>
                <w:lang w:eastAsia="zh-CN"/>
              </w:rPr>
              <w:t>评分表</w:t>
            </w:r>
            <w:r>
              <w:rPr>
                <w:rFonts w:hint="eastAsia" w:ascii="仿宋" w:hAnsi="仿宋" w:eastAsia="仿宋"/>
                <w:b/>
                <w:sz w:val="32"/>
                <w:szCs w:val="32"/>
              </w:rPr>
              <w:t>(学院考核参考</w:t>
            </w:r>
            <w:r>
              <w:rPr>
                <w:rFonts w:hint="eastAsia" w:ascii="仿宋" w:hAnsi="仿宋" w:eastAsia="仿宋"/>
                <w:b/>
                <w:sz w:val="32"/>
                <w:szCs w:val="32"/>
                <w:lang w:eastAsia="zh-CN"/>
              </w:rPr>
              <w:t>用表</w:t>
            </w:r>
            <w:r>
              <w:rPr>
                <w:rFonts w:hint="eastAsia" w:ascii="仿宋" w:hAnsi="仿宋" w:eastAsia="仿宋"/>
                <w:b/>
                <w:sz w:val="32"/>
                <w:szCs w:val="32"/>
              </w:rPr>
              <w:t>)</w:t>
            </w:r>
          </w:p>
          <w:p>
            <w:pPr>
              <w:adjustRightInd w:val="0"/>
              <w:snapToGrid w:val="0"/>
              <w:jc w:val="center"/>
              <w:rPr>
                <w:rFonts w:hint="eastAsia" w:ascii="仿宋" w:hAnsi="仿宋" w:eastAsia="仿宋"/>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309"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ascii="仿宋" w:hAnsi="仿宋" w:eastAsia="仿宋" w:cs="黑体"/>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jc w:val="center"/>
        </w:trPr>
        <w:tc>
          <w:tcPr>
            <w:tcW w:w="1309"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思想理论教育和价值引领</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学生思想价值引领与主题教育（5分）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 w:hAnsi="仿宋" w:eastAsia="仿宋" w:cs="宋体"/>
                <w:kern w:val="0"/>
                <w:sz w:val="24"/>
                <w:szCs w:val="24"/>
              </w:rPr>
            </w:pPr>
            <w:r>
              <w:rPr>
                <w:rFonts w:hint="eastAsia" w:ascii="仿宋" w:hAnsi="仿宋" w:eastAsia="仿宋" w:cs="宋体"/>
                <w:kern w:val="0"/>
                <w:sz w:val="24"/>
                <w:szCs w:val="24"/>
              </w:rPr>
              <w:t>引导学生深入学习习近平总书记系列重要讲话精神和治国理政新理念新思想新战略，深入开展中国特色社会主义、中国梦宣传教育和社会主义核心价值观教育，帮助学生不断坚定“四个自信”，牢固树立正确的世界观、人生观、价值观。</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1.习近平总书记系列重要讲话精神学习情况；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2.社会主义核心价值观教育活动；</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3.“中国梦”宣传教育活动；</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4.爱国主义教育活动；</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5.重大节庆日专题教育活动等。</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1309" w:type="dxa"/>
            <w:vMerge w:val="continue"/>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学生思想行为特点及掌握情况（5分）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广泛开展谈心谈话、宿舍走访工作，及时掌握学生思想动态，帮助学生处理好思想认识、价值取向、学习生活、择业交友等方面的具体问题。</w:t>
            </w:r>
          </w:p>
          <w:p>
            <w:pPr>
              <w:adjustRightInd w:val="0"/>
              <w:snapToGrid w:val="0"/>
              <w:rPr>
                <w:rFonts w:ascii="仿宋" w:hAnsi="仿宋" w:eastAsia="仿宋" w:cs="仿宋"/>
                <w:sz w:val="24"/>
                <w:szCs w:val="24"/>
              </w:rPr>
            </w:pP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1.所带学生基本信息的掌握情况；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2.学生谈心谈话的次数、效果；</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3.走访学生寝室的次数、效果；</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4.开展学生思想动态调查情况；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5.开展学生家庭走访情况等。</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党团和班级建设</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学生党团组织建设与骨干培养（5分）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开展学生入党积极分子培养教育工作，开展学生党员发展和教育管理服务工作。</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1.担任学生党支部书记情况；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2.所带学生递交入党申请书的比例；</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3.支部“三会一课”开展情况；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4.入党积极分子、发展对象参加党校培训情况；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5.学生党员或预备党员担任班级、社团及其他学生组织骨干情况；</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continue"/>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学生班级社团建设与团队培养（5分）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指导学生组织开展工作，做好学生骨干的遴选、培养、激励工作。</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1.担任学生社团指导老师情况；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2.所带学生获奖情况；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3.所带班级、团支部、社团或其他组织获奖情况；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4.“班级公约”等相关规章制定情况；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5.所带学生参加各级“青马班”情况。</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ascii="仿宋" w:hAnsi="仿宋" w:eastAsia="仿宋" w:cs="黑体"/>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4" w:hRule="atLeast"/>
          <w:jc w:val="center"/>
        </w:trPr>
        <w:tc>
          <w:tcPr>
            <w:tcW w:w="1309"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学风建设</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学生学习兴趣激发与习惯培养（5分）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熟悉学生所学专业的基本情况，组织开展专业教育，激发学生专业学习兴趣，引导学生养成良好的学习习惯，掌握科学学习方法。</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1.对所带专业人才培养方案的掌握情况；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2.组织开展专业教育的情况；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3.深入课堂听课、查课情况；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4.学籍异动、学业预警、学业困难学生帮扶情况；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5.诚信考试教育及学生违纪情况。</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jc w:val="center"/>
        </w:trPr>
        <w:tc>
          <w:tcPr>
            <w:tcW w:w="1309" w:type="dxa"/>
            <w:vMerge w:val="continue"/>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课外科技活动开展与氛围营造（5分）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指导学生开展课外科技学术实践活动，营造浓厚学习氛围。</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1.开展学风建设调研和分析，召开学风建设相关会议情况；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2.所带学生参加科研立项情况；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3.所带学生参加学科竞赛情况；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4.所带学生参加创新创业计划情况；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5.所带学生参加社会实践情况。</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1309"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学生日常事务管理</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开展相关专题教育与实施效果（5分）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开展入学教育，毕业生教育及相关管理和服务工作。组织开展学生军事训练。为学生提供生活指导，促进学生和谐相处，互帮互助。</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1.入学教育开展情况；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2.所带学生参加军事训练获奖情况；3.所带学生早操、周末晚讲评、晚归不归等日常管理情况；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4.所带学生参加其它集体活动情况；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5.毕业生文明离校教育活动情况；</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atLeast"/>
          <w:jc w:val="center"/>
        </w:trPr>
        <w:tc>
          <w:tcPr>
            <w:tcW w:w="1309" w:type="dxa"/>
            <w:vMerge w:val="continue"/>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学生奖勤补助贷免与综合测评（5分）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组织评选各类奖学金、助学金。指导学生办理助学贷款。组织学生开展勤工俭学活动，做好困难学生帮扶。</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1.家庭经济困难学生的掌握状况；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2.各类助学金和困难补助发放情况；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3.各类评奖评优评先情况；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4.学生先进典型培育和宣传工作；</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5.学生寝室文化建设情况。</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ascii="仿宋" w:hAnsi="仿宋" w:eastAsia="仿宋" w:cs="黑体"/>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jc w:val="center"/>
        </w:trPr>
        <w:tc>
          <w:tcPr>
            <w:tcW w:w="1309"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心理健康教育</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学生心理问题摸排与跟进情况（5分）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协助学校心理健康教育中心开展心理健康教育，对学生心理问题进行初步排查和疏导。</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1.组织学生参加心理测评或通过其它方式主动了解学生心理健康状况；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2.心理疾病确诊学生的约谈情况；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3.心理疾病确诊学生的跟进情况；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4.心理疾病确诊学生的建档情况；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5.心理疾病确诊学生的家校联系情况；</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3" w:hRule="atLeast"/>
          <w:jc w:val="center"/>
        </w:trPr>
        <w:tc>
          <w:tcPr>
            <w:tcW w:w="1309" w:type="dxa"/>
            <w:vMerge w:val="continue"/>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学生心理健康教育与心态培育（5分）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组织开展心理健康知识普及宣传活动，培育学生理性平和、乐观向上的健康心态。</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rPr>
                <w:rFonts w:ascii="仿宋" w:hAnsi="仿宋" w:eastAsia="仿宋" w:cs="仿宋"/>
                <w:sz w:val="24"/>
                <w:szCs w:val="24"/>
              </w:rPr>
            </w:pPr>
            <w:r>
              <w:rPr>
                <w:rFonts w:hint="eastAsia" w:ascii="仿宋" w:hAnsi="仿宋" w:eastAsia="仿宋" w:cs="仿宋"/>
                <w:sz w:val="24"/>
                <w:szCs w:val="24"/>
              </w:rPr>
              <w:t>1.所带学生参加“心协”活动的比例；</w:t>
            </w:r>
          </w:p>
          <w:p>
            <w:pPr>
              <w:adjustRightInd w:val="0"/>
              <w:snapToGrid w:val="0"/>
              <w:rPr>
                <w:rFonts w:ascii="仿宋" w:hAnsi="仿宋" w:eastAsia="仿宋" w:cs="仿宋"/>
                <w:sz w:val="24"/>
                <w:szCs w:val="24"/>
              </w:rPr>
            </w:pPr>
            <w:r>
              <w:rPr>
                <w:rFonts w:hint="eastAsia" w:ascii="仿宋" w:hAnsi="仿宋" w:eastAsia="仿宋" w:cs="仿宋"/>
                <w:sz w:val="24"/>
                <w:szCs w:val="24"/>
              </w:rPr>
              <w:t>2.所带学生参加“心协”活动的获奖情况；</w:t>
            </w:r>
          </w:p>
          <w:p>
            <w:pPr>
              <w:adjustRightInd w:val="0"/>
              <w:snapToGrid w:val="0"/>
              <w:rPr>
                <w:rFonts w:ascii="仿宋" w:hAnsi="仿宋" w:eastAsia="仿宋" w:cs="仿宋"/>
                <w:sz w:val="24"/>
                <w:szCs w:val="24"/>
              </w:rPr>
            </w:pPr>
            <w:r>
              <w:rPr>
                <w:rFonts w:hint="eastAsia" w:ascii="仿宋" w:hAnsi="仿宋" w:eastAsia="仿宋" w:cs="仿宋"/>
                <w:sz w:val="24"/>
                <w:szCs w:val="24"/>
              </w:rPr>
              <w:t>3.所带班级心理委员的培训情况；</w:t>
            </w:r>
          </w:p>
          <w:p>
            <w:pPr>
              <w:adjustRightInd w:val="0"/>
              <w:snapToGrid w:val="0"/>
              <w:rPr>
                <w:rFonts w:ascii="仿宋" w:hAnsi="仿宋" w:eastAsia="仿宋" w:cs="仿宋"/>
                <w:sz w:val="24"/>
                <w:szCs w:val="24"/>
              </w:rPr>
            </w:pPr>
            <w:r>
              <w:rPr>
                <w:rFonts w:hint="eastAsia" w:ascii="仿宋" w:hAnsi="仿宋" w:eastAsia="仿宋" w:cs="仿宋"/>
                <w:sz w:val="24"/>
                <w:szCs w:val="24"/>
              </w:rPr>
              <w:t>4.积极参加心理健康教育工作相关培训；</w:t>
            </w:r>
          </w:p>
          <w:p>
            <w:pPr>
              <w:adjustRightInd w:val="0"/>
              <w:snapToGrid w:val="0"/>
              <w:rPr>
                <w:rFonts w:ascii="仿宋" w:hAnsi="仿宋" w:eastAsia="仿宋" w:cs="仿宋"/>
                <w:sz w:val="24"/>
                <w:szCs w:val="24"/>
              </w:rPr>
            </w:pPr>
            <w:r>
              <w:rPr>
                <w:rFonts w:hint="eastAsia" w:ascii="仿宋" w:hAnsi="仿宋" w:eastAsia="仿宋" w:cs="仿宋"/>
                <w:sz w:val="24"/>
                <w:szCs w:val="24"/>
              </w:rPr>
              <w:t>5.组织学生开展团体辅导等活动情况；</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1309"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网络思想政治教育</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网络思政阵地构建与教育效果（5分）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运用新媒体新技术，推动思想政治工作传统优势与信息技术高度融合。构建网络思想政治教育重要阵地，积极传播先进文化。</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1.辅导员自身开设新媒体平台情况（如微信公众号、微博等）；</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2.指导学生组织开设新媒体平台情况（如微信公众号、微博等）。</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continue"/>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网络媒体运用与网络文化作品（5分）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加强学生网络素养教育，积极培养校园好网民，引导学生创作网络文化作品，弘扬主旋律，传播正能量。创新工作路径，加强与学生的网上互动交流，运用网络新媒体对学生开展思想引领、学习指导、生活辅导、心理咨询等。</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1.引导学生创作网络文化作品，弘扬主旋律，传播正能量；</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 通过微信、微博、网络群组等网络平台主动发布相关内容，吸引学生浏览、点击和评论，引导网络舆情；</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3.密切关注学生网络动态，敏锐把握苗头性、倾向性、群体性问题。</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ascii="仿宋" w:hAnsi="仿宋" w:eastAsia="仿宋" w:cs="黑体"/>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危机事件应对</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学生安全意识教育与预案制定（5分）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组织开展基本安全教育。参与学校、院（系）危机事件工作预案制定和执行。</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1.安全稳定工作相关规定熟悉情况；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2.经常性开展防火、防盗、交通事故、疾病预防等安全教育；</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3.对校园贷等非法贷款和诈骗活动进行防范宣传，提高学生防骗能力；</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4.定期检查寝室内违章使用电器等安全隐患，及时进行处理。</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1309" w:type="dxa"/>
            <w:vMerge w:val="continue"/>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校园危机事件</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处理与总结分析（5分）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对校园危机事件进行初步处理，稳定局面控制事态发展，及时掌握危机事件信息并按程序上报。参与危机事件后期应对及总结研究分析。</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1.熟悉学校应对和处理各类突发事件的预案，妥善处置学生突发事件；</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2.对敏感时期的学生安全与稳定工作能预先防范，及时有效地化解和处置有关矛盾和问题；</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3.参与危机事件应对后的总结研究。</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3" w:hRule="atLeast"/>
          <w:jc w:val="center"/>
        </w:trPr>
        <w:tc>
          <w:tcPr>
            <w:tcW w:w="1309"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职业规划与就业创业指导</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学生职业规划教育与服务引导（5分）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为学生提供科学的职业生涯规划和就业指导以及相关服务，帮助学生树立正确的就业观念。</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1.开展职业生涯规划教育情况；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2.开展职业观、择业观和就业观教育相关情况；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 xml:space="preserve">3.承担就业指导课情况； </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4.开展就业市场调查和毕业生跟踪调研的情况；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5.参加有关培训的情况。</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continue"/>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学生就业创业指导与就业质量（5分）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引导学生到基层、到西部、到祖国最需要的地方建功立业，不断提升毕业生就业质量。</w:t>
            </w:r>
          </w:p>
        </w:tc>
        <w:tc>
          <w:tcPr>
            <w:tcW w:w="538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 xml:space="preserve">1.所带毕业班级就业率； </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2.所带学生参军入伍情况；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3.所带毕业生到基层、到西部、到祖国最需要的地方建功立业情况；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4.毕业生信息收集、统计、上报工作；</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5.高效优质的就业信息服务；</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ascii="仿宋" w:hAnsi="仿宋" w:eastAsia="仿宋" w:cs="黑体"/>
                <w:b/>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1" w:hRule="exact"/>
          <w:jc w:val="center"/>
        </w:trPr>
        <w:tc>
          <w:tcPr>
            <w:tcW w:w="1309"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理论与实践研究</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理论研究</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努力学习思想政治教育的基本理论和相关学科知识，参加相关学科领域学术交流活动。</w:t>
            </w:r>
          </w:p>
        </w:tc>
        <w:tc>
          <w:tcPr>
            <w:tcW w:w="5386" w:type="dxa"/>
            <w:tcBorders>
              <w:top w:val="single" w:color="auto" w:sz="4" w:space="0"/>
              <w:left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1.以第一作者发表思想政治教育相关学术论文情况；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2.参加学术交流或工作交流情况；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3.参加校内外相关培训情况；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4.主持或参与思想政治教育课题情况；</w:t>
            </w:r>
          </w:p>
        </w:tc>
        <w:tc>
          <w:tcPr>
            <w:tcW w:w="807"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3" w:hRule="exact"/>
          <w:jc w:val="center"/>
        </w:trPr>
        <w:tc>
          <w:tcPr>
            <w:tcW w:w="1309" w:type="dxa"/>
            <w:vMerge w:val="continue"/>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实践研究</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r>
              <w:rPr>
                <w:rFonts w:hint="eastAsia" w:ascii="仿宋" w:hAnsi="仿宋" w:eastAsia="仿宋" w:cs="仿宋"/>
                <w:sz w:val="24"/>
                <w:szCs w:val="24"/>
              </w:rPr>
              <w:t>参与校内外思想政治教育课题或项目研究。</w:t>
            </w:r>
          </w:p>
        </w:tc>
        <w:tc>
          <w:tcPr>
            <w:tcW w:w="5386" w:type="dxa"/>
            <w:tcBorders>
              <w:left w:val="single" w:color="auto" w:sz="4" w:space="0"/>
              <w:bottom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1.主持或参与教育部思想政治工作精品项目情况；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2.主持或参与湖北省教育厅学生工作精品项目情况；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3.主持或参与湖北省教育厅实践育人项目情况；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4.撰写工作调研报告或学生工作案例情况；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5.主持或参与学校相关项目情况；</w:t>
            </w:r>
          </w:p>
        </w:tc>
        <w:tc>
          <w:tcPr>
            <w:tcW w:w="807" w:type="dxa"/>
            <w:tcBorders>
              <w:left w:val="single" w:color="auto" w:sz="4" w:space="0"/>
              <w:bottom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exact"/>
          <w:jc w:val="center"/>
        </w:trPr>
        <w:tc>
          <w:tcPr>
            <w:tcW w:w="1309" w:type="dxa"/>
            <w:vMerge w:val="restart"/>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工作业绩与特色</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工作业绩</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p>
        </w:tc>
        <w:tc>
          <w:tcPr>
            <w:tcW w:w="5386" w:type="dxa"/>
            <w:tcBorders>
              <w:top w:val="single" w:color="auto" w:sz="4" w:space="0"/>
              <w:left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1.参加辅导员职业能力大赛情况；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2.获评各类国家级荣誉情况；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3.获评各类省级荣誉情况；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4.获评各类校级荣誉情况。</w:t>
            </w:r>
          </w:p>
        </w:tc>
        <w:tc>
          <w:tcPr>
            <w:tcW w:w="807" w:type="dxa"/>
            <w:tcBorders>
              <w:top w:val="single" w:color="auto" w:sz="4" w:space="0"/>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exact"/>
          <w:jc w:val="center"/>
        </w:trPr>
        <w:tc>
          <w:tcPr>
            <w:tcW w:w="1309" w:type="dxa"/>
            <w:vMerge w:val="continue"/>
            <w:tcBorders>
              <w:left w:val="single" w:color="auto" w:sz="4" w:space="0"/>
              <w:right w:val="single" w:color="auto" w:sz="4" w:space="0"/>
            </w:tcBorders>
            <w:vAlign w:val="center"/>
          </w:tcPr>
          <w:p>
            <w:pPr>
              <w:adjustRightInd w:val="0"/>
              <w:snapToGrid w:val="0"/>
              <w:rPr>
                <w:rFonts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szCs w:val="24"/>
              </w:rPr>
            </w:pPr>
            <w:r>
              <w:rPr>
                <w:rFonts w:hint="eastAsia" w:ascii="仿宋" w:hAnsi="仿宋" w:eastAsia="仿宋" w:cs="仿宋"/>
                <w:sz w:val="24"/>
                <w:szCs w:val="24"/>
              </w:rPr>
              <w:t>工作特色</w:t>
            </w:r>
          </w:p>
          <w:p>
            <w:pPr>
              <w:adjustRightInd w:val="0"/>
              <w:snapToGrid w:val="0"/>
              <w:jc w:val="center"/>
              <w:rPr>
                <w:rFonts w:ascii="仿宋" w:hAnsi="仿宋" w:eastAsia="仿宋" w:cs="仿宋"/>
                <w:sz w:val="24"/>
                <w:szCs w:val="24"/>
              </w:rPr>
            </w:pPr>
            <w:r>
              <w:rPr>
                <w:rFonts w:hint="eastAsia" w:ascii="仿宋" w:hAnsi="仿宋" w:eastAsia="仿宋" w:cs="仿宋"/>
                <w:sz w:val="24"/>
                <w:szCs w:val="24"/>
              </w:rPr>
              <w:t>（5分）</w:t>
            </w:r>
          </w:p>
        </w:tc>
        <w:tc>
          <w:tcPr>
            <w:tcW w:w="482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szCs w:val="24"/>
              </w:rPr>
            </w:pPr>
          </w:p>
        </w:tc>
        <w:tc>
          <w:tcPr>
            <w:tcW w:w="5386" w:type="dxa"/>
            <w:tcBorders>
              <w:left w:val="single" w:color="auto" w:sz="4" w:space="0"/>
              <w:right w:val="single" w:color="auto" w:sz="4" w:space="0"/>
            </w:tcBorders>
          </w:tcPr>
          <w:p>
            <w:pPr>
              <w:adjustRightInd w:val="0"/>
              <w:snapToGrid w:val="0"/>
              <w:jc w:val="left"/>
              <w:rPr>
                <w:rFonts w:ascii="仿宋" w:hAnsi="仿宋" w:eastAsia="仿宋" w:cs="仿宋"/>
                <w:sz w:val="24"/>
                <w:szCs w:val="24"/>
              </w:rPr>
            </w:pPr>
            <w:r>
              <w:rPr>
                <w:rFonts w:hint="eastAsia" w:ascii="仿宋" w:hAnsi="仿宋" w:eastAsia="仿宋" w:cs="仿宋"/>
                <w:sz w:val="24"/>
                <w:szCs w:val="24"/>
              </w:rPr>
              <w:t>1.形成工作品牌情况；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2.形成工作特色情况；</w:t>
            </w:r>
          </w:p>
          <w:p>
            <w:pPr>
              <w:adjustRightInd w:val="0"/>
              <w:snapToGrid w:val="0"/>
              <w:jc w:val="left"/>
              <w:rPr>
                <w:rFonts w:ascii="仿宋" w:hAnsi="仿宋" w:eastAsia="仿宋" w:cs="仿宋"/>
                <w:sz w:val="24"/>
                <w:szCs w:val="24"/>
              </w:rPr>
            </w:pPr>
            <w:r>
              <w:rPr>
                <w:rFonts w:hint="eastAsia" w:ascii="仿宋" w:hAnsi="仿宋" w:eastAsia="仿宋" w:cs="仿宋"/>
                <w:sz w:val="24"/>
                <w:szCs w:val="24"/>
              </w:rPr>
              <w:t>3.总结提升情况。</w:t>
            </w:r>
          </w:p>
        </w:tc>
        <w:tc>
          <w:tcPr>
            <w:tcW w:w="807" w:type="dxa"/>
            <w:tcBorders>
              <w:left w:val="single" w:color="auto" w:sz="4" w:space="0"/>
              <w:right w:val="single" w:color="auto" w:sz="4" w:space="0"/>
            </w:tcBorders>
            <w:vAlign w:val="center"/>
          </w:tcPr>
          <w:p>
            <w:pPr>
              <w:adjustRightInd w:val="0"/>
              <w:snapToGrid w:val="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83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b/>
                <w:sz w:val="24"/>
                <w:szCs w:val="24"/>
              </w:rPr>
            </w:pPr>
            <w:r>
              <w:rPr>
                <w:rFonts w:hint="eastAsia" w:ascii="仿宋" w:hAnsi="仿宋" w:eastAsia="仿宋" w:cs="仿宋"/>
                <w:b/>
                <w:sz w:val="24"/>
                <w:szCs w:val="24"/>
              </w:rPr>
              <w:t>学院考核总分（100分）</w:t>
            </w:r>
          </w:p>
        </w:tc>
        <w:tc>
          <w:tcPr>
            <w:tcW w:w="538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b/>
                <w:sz w:val="24"/>
                <w:szCs w:val="24"/>
              </w:rPr>
            </w:pPr>
            <w:r>
              <w:rPr>
                <w:rFonts w:ascii="仿宋" w:hAnsi="仿宋" w:eastAsia="仿宋" w:cs="仿宋"/>
                <w:b/>
                <w:sz w:val="24"/>
                <w:szCs w:val="24"/>
              </w:rPr>
              <w:t>学院考核得分</w:t>
            </w:r>
          </w:p>
        </w:tc>
        <w:tc>
          <w:tcPr>
            <w:tcW w:w="807" w:type="dxa"/>
            <w:tcBorders>
              <w:top w:val="single" w:color="auto" w:sz="4" w:space="0"/>
              <w:left w:val="single" w:color="auto" w:sz="4" w:space="0"/>
              <w:bottom w:val="single" w:color="auto" w:sz="4" w:space="0"/>
            </w:tcBorders>
            <w:vAlign w:val="center"/>
          </w:tcPr>
          <w:p>
            <w:pPr>
              <w:adjustRightInd w:val="0"/>
              <w:snapToGrid w:val="0"/>
              <w:jc w:val="center"/>
              <w:rPr>
                <w:rFonts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val="0"/>
        <w:spacing w:line="20" w:lineRule="exact"/>
        <w:textAlignment w:val="auto"/>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NmQ1YTUwNDI2YjNhZmI5YWY2YmU3NjZhNThhNjAifQ=="/>
  </w:docVars>
  <w:rsids>
    <w:rsidRoot w:val="00000000"/>
    <w:rsid w:val="007A114C"/>
    <w:rsid w:val="015A69EE"/>
    <w:rsid w:val="32A769B0"/>
    <w:rsid w:val="36AD03EC"/>
    <w:rsid w:val="5290605F"/>
    <w:rsid w:val="675D5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2022-06-17T01:29:00Z</dcterms:created>
  <dc:creator>Administrator</dc:creator>
  <cp:lastModifiedBy>海宇图文广告</cp:lastModifiedBy>
  <dcterms:modified xsi:type="dcterms:W3CDTF">2022-10-11T10:01:35Z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19FF81668D0C4206ADF8A6915DDD4AF4</vt:lpwstr>
  </property>
</Properties>
</file>